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F5" w:rsidRDefault="001F3FBD">
      <w:pPr>
        <w:rPr>
          <w:sz w:val="24"/>
        </w:rPr>
      </w:pPr>
      <w:r w:rsidRPr="006305E4">
        <w:rPr>
          <w:noProof/>
          <w:sz w:val="24"/>
        </w:rPr>
        <w:drawing>
          <wp:anchor distT="0" distB="0" distL="114300" distR="114300" simplePos="0" relativeHeight="251660288" behindDoc="1" locked="0" layoutInCell="1" allowOverlap="1" wp14:anchorId="6BA85898" wp14:editId="345B9DDB">
            <wp:simplePos x="0" y="0"/>
            <wp:positionH relativeFrom="margin">
              <wp:align>right</wp:align>
            </wp:positionH>
            <wp:positionV relativeFrom="paragraph">
              <wp:posOffset>9525</wp:posOffset>
            </wp:positionV>
            <wp:extent cx="1819275" cy="2266950"/>
            <wp:effectExtent l="0" t="0" r="9525"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7148F5" w:rsidRPr="007148F5">
        <w:rPr>
          <w:sz w:val="24"/>
        </w:rPr>
        <w:t>The PaCE (Postsecondary and Career Expecta</w:t>
      </w:r>
      <w:r w:rsidR="006305E4">
        <w:rPr>
          <w:sz w:val="24"/>
        </w:rPr>
        <w:t xml:space="preserve">tions) framework </w:t>
      </w:r>
      <w:r w:rsidR="007148F5" w:rsidRPr="007148F5">
        <w:rPr>
          <w:sz w:val="24"/>
        </w:rPr>
        <w:t>provide</w:t>
      </w:r>
      <w:r w:rsidR="006305E4">
        <w:rPr>
          <w:sz w:val="24"/>
        </w:rPr>
        <w:t>s</w:t>
      </w:r>
      <w:r w:rsidR="007148F5" w:rsidRPr="007148F5">
        <w:rPr>
          <w:sz w:val="24"/>
        </w:rPr>
        <w:t xml:space="preserve"> guidance to parents, teachers, school administrators, community based organizations, and students on what experiences students should have and what information students should know during their progression from mi</w:t>
      </w:r>
      <w:r w:rsidR="001E0E5E">
        <w:rPr>
          <w:sz w:val="24"/>
        </w:rPr>
        <w:t>ddle grades through high school.</w:t>
      </w:r>
      <w:r w:rsidR="007148F5" w:rsidRPr="007148F5">
        <w:rPr>
          <w:sz w:val="24"/>
        </w:rPr>
        <w:t xml:space="preserve"> The framework is organized around the principle that practical and financial preparation for college and career c</w:t>
      </w:r>
      <w:r w:rsidR="00F82460">
        <w:rPr>
          <w:sz w:val="24"/>
        </w:rPr>
        <w:t xml:space="preserve">an and should be done </w:t>
      </w:r>
      <w:r w:rsidR="008961B8">
        <w:rPr>
          <w:sz w:val="24"/>
        </w:rPr>
        <w:t>together</w:t>
      </w:r>
      <w:r w:rsidR="00F82460">
        <w:rPr>
          <w:sz w:val="24"/>
        </w:rPr>
        <w:t xml:space="preserve">. </w:t>
      </w:r>
      <w:r w:rsidR="001E0E5E">
        <w:rPr>
          <w:sz w:val="24"/>
        </w:rPr>
        <w:t xml:space="preserve"> </w:t>
      </w:r>
    </w:p>
    <w:p w:rsidR="007148F5" w:rsidRDefault="006305E4">
      <w:pPr>
        <w:rPr>
          <w:sz w:val="24"/>
        </w:rPr>
      </w:pPr>
      <w:r>
        <w:rPr>
          <w:sz w:val="24"/>
        </w:rPr>
        <w:t>PaCE is intended to be used as a framework for communities to organize their activities around stude</w:t>
      </w:r>
      <w:r w:rsidR="00463FB9">
        <w:rPr>
          <w:sz w:val="24"/>
        </w:rPr>
        <w:t>nt college and career readiness and as a guide for state agencies to target spe</w:t>
      </w:r>
      <w:r w:rsidR="008961B8">
        <w:rPr>
          <w:sz w:val="24"/>
        </w:rPr>
        <w:t>cific supports where needed.</w:t>
      </w:r>
      <w:r>
        <w:rPr>
          <w:sz w:val="24"/>
        </w:rPr>
        <w:t xml:space="preserve"> </w:t>
      </w:r>
      <w:r w:rsidR="007148F5">
        <w:rPr>
          <w:sz w:val="24"/>
        </w:rPr>
        <w:t>The specific milestones that are provided in PaCE are not inten</w:t>
      </w:r>
      <w:r w:rsidR="00BF0DEC">
        <w:rPr>
          <w:sz w:val="24"/>
        </w:rPr>
        <w:t>ded to create an additional burden for st</w:t>
      </w:r>
      <w:r>
        <w:rPr>
          <w:sz w:val="24"/>
        </w:rPr>
        <w:t>udents, educators, and families; r</w:t>
      </w:r>
      <w:r w:rsidR="00BF0DEC">
        <w:rPr>
          <w:sz w:val="24"/>
        </w:rPr>
        <w:t xml:space="preserve">ather, the expectations outlined in PaCE can and should be blended into existing coursework, counseling activities, after school programs, and </w:t>
      </w:r>
      <w:r w:rsidR="002A25DC">
        <w:rPr>
          <w:sz w:val="24"/>
        </w:rPr>
        <w:t xml:space="preserve">family activities as students prepare for college and career. </w:t>
      </w:r>
    </w:p>
    <w:p w:rsidR="002A25DC" w:rsidRDefault="002A25DC">
      <w:pPr>
        <w:rPr>
          <w:sz w:val="24"/>
        </w:rPr>
      </w:pPr>
      <w:r>
        <w:rPr>
          <w:sz w:val="24"/>
        </w:rPr>
        <w:t xml:space="preserve">The framework should be easy to use and ideally will be in an </w:t>
      </w:r>
      <w:r w:rsidR="00F82460">
        <w:rPr>
          <w:sz w:val="24"/>
        </w:rPr>
        <w:t xml:space="preserve">online, </w:t>
      </w:r>
      <w:r>
        <w:rPr>
          <w:sz w:val="24"/>
        </w:rPr>
        <w:t>interactive format that is accessible for practitioners, st</w:t>
      </w:r>
      <w:r w:rsidR="00837CE6">
        <w:rPr>
          <w:sz w:val="24"/>
        </w:rPr>
        <w:t>udents, and families, and should be linked through existing stat</w:t>
      </w:r>
      <w:r w:rsidR="00F054E6">
        <w:rPr>
          <w:sz w:val="24"/>
        </w:rPr>
        <w:t xml:space="preserve">e tools, such as the </w:t>
      </w:r>
      <w:r w:rsidR="009313A3">
        <w:rPr>
          <w:sz w:val="24"/>
        </w:rPr>
        <w:t>ISAC Student Portal,</w:t>
      </w:r>
      <w:r w:rsidR="009313A3">
        <w:rPr>
          <w:rStyle w:val="FootnoteReference"/>
          <w:sz w:val="24"/>
        </w:rPr>
        <w:footnoteReference w:id="1"/>
      </w:r>
      <w:r w:rsidR="009313A3">
        <w:rPr>
          <w:sz w:val="24"/>
        </w:rPr>
        <w:t xml:space="preserve"> </w:t>
      </w:r>
      <w:r w:rsidR="00F054E6">
        <w:rPr>
          <w:sz w:val="24"/>
        </w:rPr>
        <w:t>Career Information System</w:t>
      </w:r>
      <w:r w:rsidR="00F054E6">
        <w:rPr>
          <w:rStyle w:val="FootnoteReference"/>
          <w:sz w:val="24"/>
        </w:rPr>
        <w:footnoteReference w:id="2"/>
      </w:r>
      <w:r w:rsidR="00837CE6">
        <w:rPr>
          <w:sz w:val="24"/>
        </w:rPr>
        <w:t>, or through online career exploration providers, such as Career Cruising or Naviance.</w:t>
      </w:r>
      <w:r>
        <w:rPr>
          <w:sz w:val="24"/>
        </w:rPr>
        <w:t xml:space="preserve"> Where applicable, links of resources sho</w:t>
      </w:r>
      <w:bookmarkStart w:id="0" w:name="_GoBack"/>
      <w:bookmarkEnd w:id="0"/>
      <w:r>
        <w:rPr>
          <w:sz w:val="24"/>
        </w:rPr>
        <w:t xml:space="preserve">uld be provided through the framework. </w:t>
      </w:r>
    </w:p>
    <w:p w:rsidR="002A25DC" w:rsidRPr="002A25DC" w:rsidRDefault="002A25DC">
      <w:pPr>
        <w:rPr>
          <w:b/>
          <w:sz w:val="24"/>
        </w:rPr>
      </w:pPr>
      <w:r w:rsidRPr="002A25DC">
        <w:rPr>
          <w:b/>
          <w:sz w:val="24"/>
        </w:rPr>
        <w:t xml:space="preserve">Example: </w:t>
      </w:r>
    </w:p>
    <w:p w:rsidR="002E39C1" w:rsidRDefault="00837CE6">
      <w:pPr>
        <w:rPr>
          <w:sz w:val="24"/>
        </w:rPr>
      </w:pPr>
      <w:r>
        <w:rPr>
          <w:noProof/>
          <w:sz w:val="24"/>
        </w:rPr>
        <w:drawing>
          <wp:anchor distT="0" distB="0" distL="114300" distR="114300" simplePos="0" relativeHeight="251658240" behindDoc="0" locked="0" layoutInCell="1" allowOverlap="1" wp14:anchorId="0FB048E5" wp14:editId="78E923F9">
            <wp:simplePos x="0" y="0"/>
            <wp:positionH relativeFrom="margin">
              <wp:posOffset>1924050</wp:posOffset>
            </wp:positionH>
            <wp:positionV relativeFrom="paragraph">
              <wp:posOffset>5080</wp:posOffset>
            </wp:positionV>
            <wp:extent cx="3847829" cy="22479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sterMod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47829" cy="2247900"/>
                    </a:xfrm>
                    <a:prstGeom prst="rect">
                      <a:avLst/>
                    </a:prstGeom>
                  </pic:spPr>
                </pic:pic>
              </a:graphicData>
            </a:graphic>
            <wp14:sizeRelH relativeFrom="margin">
              <wp14:pctWidth>0</wp14:pctWidth>
            </wp14:sizeRelH>
            <wp14:sizeRelV relativeFrom="margin">
              <wp14:pctHeight>0</wp14:pctHeight>
            </wp14:sizeRelV>
          </wp:anchor>
        </w:drawing>
      </w:r>
      <w:r w:rsidR="002A25DC">
        <w:rPr>
          <w:sz w:val="24"/>
        </w:rPr>
        <w:t>By the end of 8</w:t>
      </w:r>
      <w:r w:rsidR="002A25DC" w:rsidRPr="002A25DC">
        <w:rPr>
          <w:sz w:val="24"/>
          <w:vertAlign w:val="superscript"/>
        </w:rPr>
        <w:t>th</w:t>
      </w:r>
      <w:r w:rsidR="002A25DC">
        <w:rPr>
          <w:sz w:val="24"/>
        </w:rPr>
        <w:t xml:space="preserve"> grade, a student should know the concept of career clusters for further exploration. </w:t>
      </w:r>
      <w:r w:rsidR="002E39C1">
        <w:rPr>
          <w:sz w:val="24"/>
        </w:rPr>
        <w:t xml:space="preserve">The rationale for understanding the career clusters framework is that it offers an organizing structure for students to explore potential careers of interest to them and provides knowledge and skill standards for educators and practitioners. </w:t>
      </w:r>
    </w:p>
    <w:p w:rsidR="006305E4" w:rsidRDefault="007036B3">
      <w:pPr>
        <w:rPr>
          <w:sz w:val="24"/>
        </w:rPr>
      </w:pPr>
      <w:r>
        <w:rPr>
          <w:sz w:val="24"/>
        </w:rPr>
        <w:lastRenderedPageBreak/>
        <w:t>The career clusters and additional resources</w:t>
      </w:r>
      <w:r w:rsidR="006305E4">
        <w:rPr>
          <w:sz w:val="24"/>
        </w:rPr>
        <w:t>, such as a</w:t>
      </w:r>
      <w:r>
        <w:rPr>
          <w:sz w:val="24"/>
        </w:rPr>
        <w:t xml:space="preserve"> career clusters </w:t>
      </w:r>
      <w:r w:rsidR="006305E4">
        <w:rPr>
          <w:sz w:val="24"/>
        </w:rPr>
        <w:t>activity</w:t>
      </w:r>
      <w:r w:rsidR="006305E4">
        <w:rPr>
          <w:rStyle w:val="FootnoteReference"/>
          <w:sz w:val="24"/>
        </w:rPr>
        <w:footnoteReference w:id="3"/>
      </w:r>
      <w:r w:rsidR="002366FD">
        <w:rPr>
          <w:sz w:val="24"/>
        </w:rPr>
        <w:t>,</w:t>
      </w:r>
      <w:r w:rsidR="006305E4">
        <w:rPr>
          <w:sz w:val="24"/>
        </w:rPr>
        <w:t xml:space="preserve"> </w:t>
      </w:r>
      <w:r>
        <w:rPr>
          <w:sz w:val="24"/>
        </w:rPr>
        <w:t>can be lin</w:t>
      </w:r>
      <w:r w:rsidR="006305E4">
        <w:rPr>
          <w:sz w:val="24"/>
        </w:rPr>
        <w:t xml:space="preserve">ked in the PaCE framework. As communities work to transition their students from middle school to high school, the following activities can be considered: </w:t>
      </w:r>
    </w:p>
    <w:p w:rsidR="002A25DC" w:rsidRDefault="006305E4" w:rsidP="006305E4">
      <w:pPr>
        <w:pStyle w:val="ListParagraph"/>
        <w:numPr>
          <w:ilvl w:val="0"/>
          <w:numId w:val="1"/>
        </w:numPr>
        <w:rPr>
          <w:sz w:val="24"/>
        </w:rPr>
      </w:pPr>
      <w:r w:rsidRPr="006305E4">
        <w:rPr>
          <w:sz w:val="24"/>
        </w:rPr>
        <w:t xml:space="preserve">The </w:t>
      </w:r>
      <w:r w:rsidR="002366FD">
        <w:rPr>
          <w:sz w:val="24"/>
        </w:rPr>
        <w:t xml:space="preserve">career clusters </w:t>
      </w:r>
      <w:r w:rsidRPr="006305E4">
        <w:rPr>
          <w:sz w:val="24"/>
        </w:rPr>
        <w:t>can be presented in a school-based workshop for outgoing 8</w:t>
      </w:r>
      <w:r w:rsidRPr="006305E4">
        <w:rPr>
          <w:sz w:val="24"/>
          <w:vertAlign w:val="superscript"/>
        </w:rPr>
        <w:t>th</w:t>
      </w:r>
      <w:r w:rsidRPr="006305E4">
        <w:rPr>
          <w:sz w:val="24"/>
        </w:rPr>
        <w:t xml:space="preserve"> graders as they prepare for high school registration. </w:t>
      </w:r>
    </w:p>
    <w:p w:rsidR="002366FD" w:rsidRPr="00F82460" w:rsidRDefault="002366FD" w:rsidP="00F82460">
      <w:pPr>
        <w:pStyle w:val="ListParagraph"/>
        <w:numPr>
          <w:ilvl w:val="0"/>
          <w:numId w:val="1"/>
        </w:numPr>
        <w:rPr>
          <w:sz w:val="24"/>
        </w:rPr>
      </w:pPr>
      <w:r>
        <w:rPr>
          <w:sz w:val="24"/>
        </w:rPr>
        <w:t>The career clusters can be shared with families during an or</w:t>
      </w:r>
      <w:r w:rsidR="00F82460">
        <w:rPr>
          <w:sz w:val="24"/>
        </w:rPr>
        <w:t xml:space="preserve">ientation night to high school, where families can be encouraged to explore the career clusters activity together as they begin preparing for high school registration. </w:t>
      </w:r>
    </w:p>
    <w:p w:rsidR="002366FD" w:rsidRDefault="002366FD" w:rsidP="006305E4">
      <w:pPr>
        <w:pStyle w:val="ListParagraph"/>
        <w:numPr>
          <w:ilvl w:val="0"/>
          <w:numId w:val="1"/>
        </w:numPr>
        <w:rPr>
          <w:sz w:val="24"/>
        </w:rPr>
      </w:pPr>
      <w:r>
        <w:rPr>
          <w:sz w:val="24"/>
        </w:rPr>
        <w:t>8</w:t>
      </w:r>
      <w:r w:rsidRPr="002366FD">
        <w:rPr>
          <w:sz w:val="24"/>
          <w:vertAlign w:val="superscript"/>
        </w:rPr>
        <w:t>th</w:t>
      </w:r>
      <w:r>
        <w:rPr>
          <w:sz w:val="24"/>
        </w:rPr>
        <w:t xml:space="preserve"> grade instructors can commit to including the framework in particular lessons, using the career clusters activity to structure classwork. </w:t>
      </w:r>
    </w:p>
    <w:p w:rsidR="002366FD" w:rsidRDefault="002366FD" w:rsidP="006305E4">
      <w:pPr>
        <w:pStyle w:val="ListParagraph"/>
        <w:numPr>
          <w:ilvl w:val="0"/>
          <w:numId w:val="1"/>
        </w:numPr>
        <w:rPr>
          <w:sz w:val="24"/>
        </w:rPr>
      </w:pPr>
      <w:r>
        <w:rPr>
          <w:sz w:val="24"/>
        </w:rPr>
        <w:t xml:space="preserve">Community-based organizations that interact with students and families and schools can work together to use the career clusters to structure activities, such as career fairs, mentorship programs, and content </w:t>
      </w:r>
      <w:r w:rsidR="0022375C">
        <w:rPr>
          <w:sz w:val="24"/>
        </w:rPr>
        <w:t xml:space="preserve">specific programs. </w:t>
      </w:r>
    </w:p>
    <w:p w:rsidR="00F82460" w:rsidRPr="00F82460" w:rsidRDefault="00CC2101" w:rsidP="0022375C">
      <w:pPr>
        <w:rPr>
          <w:b/>
          <w:sz w:val="24"/>
        </w:rPr>
      </w:pPr>
      <w:r>
        <w:rPr>
          <w:b/>
          <w:sz w:val="24"/>
        </w:rPr>
        <w:t xml:space="preserve">Connections across the framework: </w:t>
      </w:r>
    </w:p>
    <w:p w:rsidR="0022375C" w:rsidRDefault="0022375C" w:rsidP="0022375C">
      <w:pPr>
        <w:rPr>
          <w:sz w:val="24"/>
        </w:rPr>
      </w:pPr>
      <w:r>
        <w:rPr>
          <w:sz w:val="24"/>
        </w:rPr>
        <w:t xml:space="preserve">The PaCE framework can be a powerful </w:t>
      </w:r>
      <w:r w:rsidR="00CC2101">
        <w:rPr>
          <w:sz w:val="24"/>
        </w:rPr>
        <w:t>instrument</w:t>
      </w:r>
      <w:r>
        <w:rPr>
          <w:sz w:val="24"/>
        </w:rPr>
        <w:t xml:space="preserve"> f</w:t>
      </w:r>
      <w:r w:rsidR="00F82460">
        <w:rPr>
          <w:sz w:val="24"/>
        </w:rPr>
        <w:t>or communities to come together around specific expectations, milestones, and activities that drive student college and career preparation, readiness, and success.</w:t>
      </w:r>
      <w:r w:rsidR="00CC2101">
        <w:rPr>
          <w:sz w:val="24"/>
        </w:rPr>
        <w:t xml:space="preserve"> However, these expectations should not be </w:t>
      </w:r>
      <w:r w:rsidR="0007720B">
        <w:rPr>
          <w:sz w:val="24"/>
        </w:rPr>
        <w:t xml:space="preserve">individually </w:t>
      </w:r>
      <w:r w:rsidR="00CC2101">
        <w:rPr>
          <w:sz w:val="24"/>
        </w:rPr>
        <w:t>considered in a vacuum.</w:t>
      </w:r>
      <w:r w:rsidR="00F82460">
        <w:rPr>
          <w:sz w:val="24"/>
        </w:rPr>
        <w:t xml:space="preserve"> In the example above, career clusters are introduced in the 8</w:t>
      </w:r>
      <w:r w:rsidR="00F82460" w:rsidRPr="00F82460">
        <w:rPr>
          <w:sz w:val="24"/>
          <w:vertAlign w:val="superscript"/>
        </w:rPr>
        <w:t>th</w:t>
      </w:r>
      <w:r w:rsidR="00CC2101">
        <w:rPr>
          <w:sz w:val="24"/>
        </w:rPr>
        <w:t xml:space="preserve"> grade as a way </w:t>
      </w:r>
      <w:r w:rsidR="00F82460">
        <w:rPr>
          <w:sz w:val="24"/>
        </w:rPr>
        <w:t>for students to begin exploring care</w:t>
      </w:r>
      <w:r w:rsidR="00CC2101">
        <w:rPr>
          <w:sz w:val="24"/>
        </w:rPr>
        <w:t>ers of interest to them. Once students have been introduced to the career c</w:t>
      </w:r>
      <w:r w:rsidR="0007720B">
        <w:rPr>
          <w:sz w:val="24"/>
        </w:rPr>
        <w:t>lusters, the clusters</w:t>
      </w:r>
      <w:r w:rsidR="00CC2101">
        <w:rPr>
          <w:sz w:val="24"/>
        </w:rPr>
        <w:t xml:space="preserve"> can be used as an organizing tool for discussing postsecondary plans and understanding financial obligations and returns-on-investment of specific postsecondary options, participating in community service, extracurricular</w:t>
      </w:r>
      <w:r w:rsidR="0007720B">
        <w:rPr>
          <w:sz w:val="24"/>
        </w:rPr>
        <w:t>,</w:t>
      </w:r>
      <w:r w:rsidR="00CC2101">
        <w:rPr>
          <w:sz w:val="24"/>
        </w:rPr>
        <w:t xml:space="preserve"> and work-based learning activities, as well as making important </w:t>
      </w:r>
      <w:r w:rsidR="00463FB9">
        <w:rPr>
          <w:sz w:val="24"/>
        </w:rPr>
        <w:t xml:space="preserve">postsecondary and career decisions. </w:t>
      </w:r>
    </w:p>
    <w:p w:rsidR="00463FB9" w:rsidRDefault="00463FB9" w:rsidP="0022375C">
      <w:pPr>
        <w:rPr>
          <w:b/>
          <w:sz w:val="24"/>
        </w:rPr>
      </w:pPr>
      <w:r>
        <w:rPr>
          <w:b/>
          <w:sz w:val="24"/>
        </w:rPr>
        <w:t xml:space="preserve">An organizing framework: </w:t>
      </w:r>
    </w:p>
    <w:p w:rsidR="00063928" w:rsidRDefault="00463FB9" w:rsidP="00837CE6">
      <w:pPr>
        <w:rPr>
          <w:sz w:val="24"/>
        </w:rPr>
      </w:pPr>
      <w:r>
        <w:rPr>
          <w:sz w:val="24"/>
        </w:rPr>
        <w:t>Communities can be incentivized to use this tool as</w:t>
      </w:r>
      <w:r w:rsidR="00837CE6">
        <w:rPr>
          <w:sz w:val="24"/>
        </w:rPr>
        <w:t xml:space="preserve"> part of a broader</w:t>
      </w:r>
      <w:r>
        <w:rPr>
          <w:sz w:val="24"/>
        </w:rPr>
        <w:t xml:space="preserve"> program to drive student colle</w:t>
      </w:r>
      <w:r w:rsidR="008961B8">
        <w:rPr>
          <w:sz w:val="24"/>
        </w:rPr>
        <w:t xml:space="preserve">ge and career readiness. </w:t>
      </w:r>
      <w:r>
        <w:rPr>
          <w:sz w:val="24"/>
        </w:rPr>
        <w:t>Using existing</w:t>
      </w:r>
      <w:r w:rsidR="008961B8">
        <w:rPr>
          <w:sz w:val="24"/>
        </w:rPr>
        <w:t xml:space="preserve"> </w:t>
      </w:r>
      <w:r>
        <w:rPr>
          <w:sz w:val="24"/>
        </w:rPr>
        <w:t>organizing networks in Illinois, communities can be incentivized</w:t>
      </w:r>
      <w:r w:rsidR="008961B8">
        <w:rPr>
          <w:sz w:val="24"/>
        </w:rPr>
        <w:t xml:space="preserve"> to use the PaCE framework as a</w:t>
      </w:r>
      <w:r>
        <w:rPr>
          <w:sz w:val="24"/>
        </w:rPr>
        <w:t xml:space="preserve"> </w:t>
      </w:r>
      <w:r w:rsidR="008961B8">
        <w:rPr>
          <w:sz w:val="24"/>
        </w:rPr>
        <w:t>coordinating</w:t>
      </w:r>
      <w:r>
        <w:rPr>
          <w:sz w:val="24"/>
        </w:rPr>
        <w:t xml:space="preserve"> structure around their education to employment initiatives. </w:t>
      </w:r>
      <w:r w:rsidR="00063928">
        <w:rPr>
          <w:sz w:val="24"/>
        </w:rPr>
        <w:t>S</w:t>
      </w:r>
      <w:r w:rsidR="00837CE6">
        <w:rPr>
          <w:sz w:val="24"/>
        </w:rPr>
        <w:t>uccessfu</w:t>
      </w:r>
      <w:r w:rsidR="00063928">
        <w:rPr>
          <w:sz w:val="24"/>
        </w:rPr>
        <w:t>l implementation of PaCE will include professional development and</w:t>
      </w:r>
      <w:r w:rsidR="00063928">
        <w:rPr>
          <w:sz w:val="24"/>
        </w:rPr>
        <w:t xml:space="preserve"> a statewide awareness and communications campaign</w:t>
      </w:r>
      <w:r w:rsidR="00063928">
        <w:rPr>
          <w:sz w:val="24"/>
        </w:rPr>
        <w:t xml:space="preserve">, the goal of which would be to make sure that all school districts and ideally non-profit partners, students, and families understand that they need to support students to “keep </w:t>
      </w:r>
      <w:proofErr w:type="spellStart"/>
      <w:r w:rsidR="00063928">
        <w:rPr>
          <w:sz w:val="24"/>
        </w:rPr>
        <w:t>PaCE</w:t>
      </w:r>
      <w:proofErr w:type="spellEnd"/>
      <w:r w:rsidR="00063928">
        <w:rPr>
          <w:sz w:val="24"/>
        </w:rPr>
        <w:t xml:space="preserve">” and build out the systems that make that happen.  </w:t>
      </w:r>
    </w:p>
    <w:p w:rsidR="007148F5" w:rsidRPr="00F82460" w:rsidRDefault="007148F5">
      <w:pPr>
        <w:rPr>
          <w:b/>
          <w:sz w:val="24"/>
        </w:rPr>
      </w:pPr>
    </w:p>
    <w:sectPr w:rsidR="007148F5" w:rsidRPr="00F82460" w:rsidSect="00837CE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C1" w:rsidRDefault="002E39C1" w:rsidP="002E39C1">
      <w:pPr>
        <w:spacing w:after="0" w:line="240" w:lineRule="auto"/>
      </w:pPr>
      <w:r>
        <w:separator/>
      </w:r>
    </w:p>
  </w:endnote>
  <w:endnote w:type="continuationSeparator" w:id="0">
    <w:p w:rsidR="002E39C1" w:rsidRDefault="002E39C1" w:rsidP="002E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C1" w:rsidRDefault="002E39C1" w:rsidP="002E39C1">
      <w:pPr>
        <w:spacing w:after="0" w:line="240" w:lineRule="auto"/>
      </w:pPr>
      <w:r>
        <w:separator/>
      </w:r>
    </w:p>
  </w:footnote>
  <w:footnote w:type="continuationSeparator" w:id="0">
    <w:p w:rsidR="002E39C1" w:rsidRDefault="002E39C1" w:rsidP="002E39C1">
      <w:pPr>
        <w:spacing w:after="0" w:line="240" w:lineRule="auto"/>
      </w:pPr>
      <w:r>
        <w:continuationSeparator/>
      </w:r>
    </w:p>
  </w:footnote>
  <w:footnote w:id="1">
    <w:p w:rsidR="009313A3" w:rsidRDefault="009313A3">
      <w:pPr>
        <w:pStyle w:val="FootnoteText"/>
      </w:pPr>
      <w:r>
        <w:rPr>
          <w:rStyle w:val="FootnoteReference"/>
        </w:rPr>
        <w:footnoteRef/>
      </w:r>
      <w:r>
        <w:t xml:space="preserve"> </w:t>
      </w:r>
      <w:hyperlink r:id="rId1" w:history="1">
        <w:r w:rsidRPr="009313A3">
          <w:rPr>
            <w:rStyle w:val="Hyperlink"/>
          </w:rPr>
          <w:t>www.studentportal.isac.org</w:t>
        </w:r>
      </w:hyperlink>
      <w:r w:rsidRPr="009313A3">
        <w:t xml:space="preserve"> </w:t>
      </w:r>
    </w:p>
  </w:footnote>
  <w:footnote w:id="2">
    <w:p w:rsidR="00F054E6" w:rsidRDefault="00F054E6">
      <w:pPr>
        <w:pStyle w:val="FootnoteText"/>
      </w:pPr>
      <w:r>
        <w:rPr>
          <w:rStyle w:val="FootnoteReference"/>
        </w:rPr>
        <w:footnoteRef/>
      </w:r>
      <w:r>
        <w:t xml:space="preserve"> </w:t>
      </w:r>
      <w:hyperlink r:id="rId2" w:history="1">
        <w:r w:rsidR="00644C7E" w:rsidRPr="00D66FCB">
          <w:rPr>
            <w:rStyle w:val="Hyperlink"/>
          </w:rPr>
          <w:t>https://ilcis.intocareers.org/materials/portal/home2.html</w:t>
        </w:r>
      </w:hyperlink>
      <w:r w:rsidR="00644C7E">
        <w:t xml:space="preserve"> </w:t>
      </w:r>
    </w:p>
  </w:footnote>
  <w:footnote w:id="3">
    <w:p w:rsidR="006305E4" w:rsidRDefault="006305E4">
      <w:pPr>
        <w:pStyle w:val="FootnoteText"/>
      </w:pPr>
      <w:r>
        <w:rPr>
          <w:rStyle w:val="FootnoteReference"/>
        </w:rPr>
        <w:footnoteRef/>
      </w:r>
      <w:r>
        <w:t xml:space="preserve"> Example:  </w:t>
      </w:r>
      <w:hyperlink r:id="rId3" w:history="1">
        <w:r w:rsidRPr="00D66FCB">
          <w:rPr>
            <w:rStyle w:val="Hyperlink"/>
          </w:rPr>
          <w:t>http://www.educationplanner.org/students/career-planning/find-careers/career-clusters.shtml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C1" w:rsidRPr="006305E4" w:rsidRDefault="002E39C1" w:rsidP="002E39C1">
    <w:pPr>
      <w:rPr>
        <w:b/>
        <w:sz w:val="28"/>
      </w:rPr>
    </w:pPr>
    <w:r w:rsidRPr="006305E4">
      <w:rPr>
        <w:b/>
        <w:sz w:val="28"/>
      </w:rPr>
      <w:t xml:space="preserve">Illinois </w:t>
    </w:r>
    <w:r w:rsidRPr="006305E4">
      <w:rPr>
        <w:b/>
        <w:color w:val="0070C0"/>
        <w:sz w:val="28"/>
      </w:rPr>
      <w:t xml:space="preserve">PaCE: </w:t>
    </w:r>
    <w:r w:rsidRPr="006305E4">
      <w:rPr>
        <w:b/>
        <w:sz w:val="28"/>
      </w:rPr>
      <w:t>Postsecondary and Career Expectations</w:t>
    </w:r>
  </w:p>
  <w:p w:rsidR="002E39C1" w:rsidRPr="006305E4" w:rsidRDefault="006305E4" w:rsidP="006305E4">
    <w:pPr>
      <w:rPr>
        <w:sz w:val="24"/>
      </w:rPr>
    </w:pPr>
    <w:r>
      <w:rPr>
        <w:noProof/>
      </w:rPr>
      <mc:AlternateContent>
        <mc:Choice Requires="wps">
          <w:drawing>
            <wp:anchor distT="0" distB="0" distL="114300" distR="114300" simplePos="0" relativeHeight="251661312" behindDoc="1" locked="0" layoutInCell="1" allowOverlap="1" wp14:anchorId="4B4754FF" wp14:editId="0A9490F5">
              <wp:simplePos x="0" y="0"/>
              <wp:positionH relativeFrom="margin">
                <wp:posOffset>9525</wp:posOffset>
              </wp:positionH>
              <wp:positionV relativeFrom="paragraph">
                <wp:posOffset>212090</wp:posOffset>
              </wp:positionV>
              <wp:extent cx="6638925" cy="9525"/>
              <wp:effectExtent l="0" t="0" r="28575" b="28575"/>
              <wp:wrapTight wrapText="bothSides">
                <wp:wrapPolygon edited="0">
                  <wp:start x="0" y="0"/>
                  <wp:lineTo x="0" y="43200"/>
                  <wp:lineTo x="21631" y="43200"/>
                  <wp:lineTo x="21631" y="0"/>
                  <wp:lineTo x="0" y="0"/>
                </wp:wrapPolygon>
              </wp:wrapTight>
              <wp:docPr id="1" name="Straight Connector 1"/>
              <wp:cNvGraphicFramePr/>
              <a:graphic xmlns:a="http://schemas.openxmlformats.org/drawingml/2006/main">
                <a:graphicData uri="http://schemas.microsoft.com/office/word/2010/wordprocessingShape">
                  <wps:wsp>
                    <wps:cNvCnPr/>
                    <wps:spPr>
                      <a:xfrm flipV="1">
                        <a:off x="0" y="0"/>
                        <a:ext cx="663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449F4DE4" id="Straight Connector 1"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6.7pt" to="5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" strokecolor="#5b9bd5 [3204]" strokeweight=".5pt">
              <v:stroke joinstyle="miter"/>
              <w10:wrap type="tight" anchorx="margin"/>
            </v:line>
          </w:pict>
        </mc:Fallback>
      </mc:AlternateContent>
    </w:r>
    <w:r>
      <w:rPr>
        <w:sz w:val="24"/>
      </w:rPr>
      <w:t>A community organizing framework for student college and career readiness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84E"/>
    <w:multiLevelType w:val="hybridMultilevel"/>
    <w:tmpl w:val="7E5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F5"/>
    <w:rsid w:val="00063928"/>
    <w:rsid w:val="0007720B"/>
    <w:rsid w:val="0009400E"/>
    <w:rsid w:val="001E0E5E"/>
    <w:rsid w:val="001F3FBD"/>
    <w:rsid w:val="0022375C"/>
    <w:rsid w:val="002366FD"/>
    <w:rsid w:val="002804CC"/>
    <w:rsid w:val="002A25DC"/>
    <w:rsid w:val="002E39C1"/>
    <w:rsid w:val="00463FB9"/>
    <w:rsid w:val="005165E8"/>
    <w:rsid w:val="006305E4"/>
    <w:rsid w:val="00644C7E"/>
    <w:rsid w:val="007036B3"/>
    <w:rsid w:val="007148F5"/>
    <w:rsid w:val="00837CE6"/>
    <w:rsid w:val="008961B8"/>
    <w:rsid w:val="008F3FE5"/>
    <w:rsid w:val="009313A3"/>
    <w:rsid w:val="00BF0DEC"/>
    <w:rsid w:val="00CC2101"/>
    <w:rsid w:val="00E71263"/>
    <w:rsid w:val="00F054E6"/>
    <w:rsid w:val="00F82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1810"/>
  <w15:chartTrackingRefBased/>
  <w15:docId w15:val="{1BEBDD4B-FCB4-4125-88D5-749E6FDD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9C1"/>
    <w:rPr>
      <w:color w:val="0563C1" w:themeColor="hyperlink"/>
      <w:u w:val="single"/>
    </w:rPr>
  </w:style>
  <w:style w:type="paragraph" w:styleId="Header">
    <w:name w:val="header"/>
    <w:basedOn w:val="Normal"/>
    <w:link w:val="HeaderChar"/>
    <w:uiPriority w:val="99"/>
    <w:unhideWhenUsed/>
    <w:rsid w:val="002E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9C1"/>
  </w:style>
  <w:style w:type="paragraph" w:styleId="Footer">
    <w:name w:val="footer"/>
    <w:basedOn w:val="Normal"/>
    <w:link w:val="FooterChar"/>
    <w:uiPriority w:val="99"/>
    <w:unhideWhenUsed/>
    <w:rsid w:val="002E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9C1"/>
  </w:style>
  <w:style w:type="paragraph" w:styleId="FootnoteText">
    <w:name w:val="footnote text"/>
    <w:basedOn w:val="Normal"/>
    <w:link w:val="FootnoteTextChar"/>
    <w:uiPriority w:val="99"/>
    <w:semiHidden/>
    <w:unhideWhenUsed/>
    <w:rsid w:val="00703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6B3"/>
    <w:rPr>
      <w:sz w:val="20"/>
      <w:szCs w:val="20"/>
    </w:rPr>
  </w:style>
  <w:style w:type="character" w:styleId="FootnoteReference">
    <w:name w:val="footnote reference"/>
    <w:basedOn w:val="DefaultParagraphFont"/>
    <w:uiPriority w:val="99"/>
    <w:semiHidden/>
    <w:unhideWhenUsed/>
    <w:rsid w:val="007036B3"/>
    <w:rPr>
      <w:vertAlign w:val="superscript"/>
    </w:rPr>
  </w:style>
  <w:style w:type="paragraph" w:styleId="ListParagraph">
    <w:name w:val="List Paragraph"/>
    <w:basedOn w:val="Normal"/>
    <w:uiPriority w:val="34"/>
    <w:qFormat/>
    <w:rsid w:val="006305E4"/>
    <w:pPr>
      <w:ind w:left="720"/>
      <w:contextualSpacing/>
    </w:pPr>
  </w:style>
  <w:style w:type="character" w:styleId="FollowedHyperlink">
    <w:name w:val="FollowedHyperlink"/>
    <w:basedOn w:val="DefaultParagraphFont"/>
    <w:uiPriority w:val="99"/>
    <w:semiHidden/>
    <w:unhideWhenUsed/>
    <w:rsid w:val="00931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ducationplanner.org/students/career-planning/find-careers/career-clusters.shtml" TargetMode="External"/><Relationship Id="rId2" Type="http://schemas.openxmlformats.org/officeDocument/2006/relationships/hyperlink" Target="https://ilcis.intocareers.org/materials/portal/home2.html" TargetMode="External"/><Relationship Id="rId1" Type="http://schemas.openxmlformats.org/officeDocument/2006/relationships/hyperlink" Target="http://www.studentportal.isac.org"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8287D-7156-4D93-B276-20EC5753ABE4}" type="doc">
      <dgm:prSet loTypeId="urn:microsoft.com/office/officeart/2005/8/layout/venn1" loCatId="relationship" qsTypeId="urn:microsoft.com/office/officeart/2005/8/quickstyle/simple1" qsCatId="simple" csTypeId="urn:microsoft.com/office/officeart/2005/8/colors/colorful4" csCatId="colorful" phldr="1"/>
      <dgm:spPr/>
    </dgm:pt>
    <dgm:pt modelId="{5F2427FF-CC9C-4ACF-9B0C-FD8580591E84}">
      <dgm:prSet phldrT="[Text]"/>
      <dgm:spPr/>
      <dgm:t>
        <a:bodyPr/>
        <a:lstStyle/>
        <a:p>
          <a:r>
            <a:rPr lang="en-US"/>
            <a:t>Career Exploration and Development</a:t>
          </a:r>
        </a:p>
      </dgm:t>
    </dgm:pt>
    <dgm:pt modelId="{92062171-3014-4814-A49C-F9B4346FF2BC}" type="parTrans" cxnId="{5D23FDCC-E745-4ED7-B7C1-C22BC3DDC8C6}">
      <dgm:prSet/>
      <dgm:spPr/>
      <dgm:t>
        <a:bodyPr/>
        <a:lstStyle/>
        <a:p>
          <a:endParaRPr lang="en-US"/>
        </a:p>
      </dgm:t>
    </dgm:pt>
    <dgm:pt modelId="{889B8236-9CB3-48CA-B4A8-0AF33B37F178}" type="sibTrans" cxnId="{5D23FDCC-E745-4ED7-B7C1-C22BC3DDC8C6}">
      <dgm:prSet/>
      <dgm:spPr/>
      <dgm:t>
        <a:bodyPr/>
        <a:lstStyle/>
        <a:p>
          <a:endParaRPr lang="en-US"/>
        </a:p>
      </dgm:t>
    </dgm:pt>
    <dgm:pt modelId="{2B0C7056-1488-45A8-9553-53DF8105F223}">
      <dgm:prSet phldrT="[Text]"/>
      <dgm:spPr/>
      <dgm:t>
        <a:bodyPr/>
        <a:lstStyle/>
        <a:p>
          <a:r>
            <a:rPr lang="en-US"/>
            <a:t>College Exploration, Preparation, and Selection </a:t>
          </a:r>
        </a:p>
      </dgm:t>
    </dgm:pt>
    <dgm:pt modelId="{B6CA4937-62B0-4185-BC46-F39C53ACB1DA}" type="parTrans" cxnId="{C6D69FA1-9726-4611-B33B-F400DBB70786}">
      <dgm:prSet/>
      <dgm:spPr/>
      <dgm:t>
        <a:bodyPr/>
        <a:lstStyle/>
        <a:p>
          <a:endParaRPr lang="en-US"/>
        </a:p>
      </dgm:t>
    </dgm:pt>
    <dgm:pt modelId="{014B2F91-5576-475E-96D8-A552E7C8225B}" type="sibTrans" cxnId="{C6D69FA1-9726-4611-B33B-F400DBB70786}">
      <dgm:prSet/>
      <dgm:spPr/>
      <dgm:t>
        <a:bodyPr/>
        <a:lstStyle/>
        <a:p>
          <a:endParaRPr lang="en-US"/>
        </a:p>
      </dgm:t>
    </dgm:pt>
    <dgm:pt modelId="{92B649AA-159D-4D25-A530-B2BD0B179C0B}">
      <dgm:prSet phldrT="[Text]"/>
      <dgm:spPr>
        <a:solidFill>
          <a:srgbClr val="FF0000">
            <a:alpha val="50000"/>
          </a:srgbClr>
        </a:solidFill>
      </dgm:spPr>
      <dgm:t>
        <a:bodyPr/>
        <a:lstStyle/>
        <a:p>
          <a:r>
            <a:rPr lang="en-US"/>
            <a:t>Financial Aid and Literacy</a:t>
          </a:r>
        </a:p>
      </dgm:t>
    </dgm:pt>
    <dgm:pt modelId="{88C6FDE9-17B0-42A0-BF6B-110F47A6AAF8}" type="parTrans" cxnId="{78369BA5-2960-4E98-8D14-215588C03DD3}">
      <dgm:prSet/>
      <dgm:spPr/>
      <dgm:t>
        <a:bodyPr/>
        <a:lstStyle/>
        <a:p>
          <a:endParaRPr lang="en-US"/>
        </a:p>
      </dgm:t>
    </dgm:pt>
    <dgm:pt modelId="{4116669F-884E-41B4-B5CD-692B88082C70}" type="sibTrans" cxnId="{78369BA5-2960-4E98-8D14-215588C03DD3}">
      <dgm:prSet/>
      <dgm:spPr/>
      <dgm:t>
        <a:bodyPr/>
        <a:lstStyle/>
        <a:p>
          <a:endParaRPr lang="en-US"/>
        </a:p>
      </dgm:t>
    </dgm:pt>
    <dgm:pt modelId="{C6D9ED1E-B880-473B-8346-77409F400D4F}" type="pres">
      <dgm:prSet presAssocID="{6048287D-7156-4D93-B276-20EC5753ABE4}" presName="compositeShape" presStyleCnt="0">
        <dgm:presLayoutVars>
          <dgm:chMax val="7"/>
          <dgm:dir/>
          <dgm:resizeHandles val="exact"/>
        </dgm:presLayoutVars>
      </dgm:prSet>
      <dgm:spPr/>
    </dgm:pt>
    <dgm:pt modelId="{0B9A7A5A-DFA0-4BAC-BB34-DCE060027469}" type="pres">
      <dgm:prSet presAssocID="{5F2427FF-CC9C-4ACF-9B0C-FD8580591E84}" presName="circ1" presStyleLbl="vennNode1" presStyleIdx="0" presStyleCnt="3"/>
      <dgm:spPr/>
      <dgm:t>
        <a:bodyPr/>
        <a:lstStyle/>
        <a:p>
          <a:endParaRPr lang="en-US"/>
        </a:p>
      </dgm:t>
    </dgm:pt>
    <dgm:pt modelId="{765A394F-1688-4809-A2C0-379DBFAFDD05}" type="pres">
      <dgm:prSet presAssocID="{5F2427FF-CC9C-4ACF-9B0C-FD8580591E84}" presName="circ1Tx" presStyleLbl="revTx" presStyleIdx="0" presStyleCnt="0">
        <dgm:presLayoutVars>
          <dgm:chMax val="0"/>
          <dgm:chPref val="0"/>
          <dgm:bulletEnabled val="1"/>
        </dgm:presLayoutVars>
      </dgm:prSet>
      <dgm:spPr/>
      <dgm:t>
        <a:bodyPr/>
        <a:lstStyle/>
        <a:p>
          <a:endParaRPr lang="en-US"/>
        </a:p>
      </dgm:t>
    </dgm:pt>
    <dgm:pt modelId="{1BF029BE-7AA4-4EB7-8122-C1261969EF28}" type="pres">
      <dgm:prSet presAssocID="{2B0C7056-1488-45A8-9553-53DF8105F223}" presName="circ2" presStyleLbl="vennNode1" presStyleIdx="1" presStyleCnt="3"/>
      <dgm:spPr/>
      <dgm:t>
        <a:bodyPr/>
        <a:lstStyle/>
        <a:p>
          <a:endParaRPr lang="en-US"/>
        </a:p>
      </dgm:t>
    </dgm:pt>
    <dgm:pt modelId="{8786A0F1-8908-42DF-B228-2E290A99D4C1}" type="pres">
      <dgm:prSet presAssocID="{2B0C7056-1488-45A8-9553-53DF8105F223}" presName="circ2Tx" presStyleLbl="revTx" presStyleIdx="0" presStyleCnt="0">
        <dgm:presLayoutVars>
          <dgm:chMax val="0"/>
          <dgm:chPref val="0"/>
          <dgm:bulletEnabled val="1"/>
        </dgm:presLayoutVars>
      </dgm:prSet>
      <dgm:spPr/>
      <dgm:t>
        <a:bodyPr/>
        <a:lstStyle/>
        <a:p>
          <a:endParaRPr lang="en-US"/>
        </a:p>
      </dgm:t>
    </dgm:pt>
    <dgm:pt modelId="{CE9E954D-48C6-4FAD-9F23-693338A61053}" type="pres">
      <dgm:prSet presAssocID="{92B649AA-159D-4D25-A530-B2BD0B179C0B}" presName="circ3" presStyleLbl="vennNode1" presStyleIdx="2" presStyleCnt="3"/>
      <dgm:spPr/>
      <dgm:t>
        <a:bodyPr/>
        <a:lstStyle/>
        <a:p>
          <a:endParaRPr lang="en-US"/>
        </a:p>
      </dgm:t>
    </dgm:pt>
    <dgm:pt modelId="{4033807C-2FBC-4BBA-B45A-3DDBB7E97C29}" type="pres">
      <dgm:prSet presAssocID="{92B649AA-159D-4D25-A530-B2BD0B179C0B}" presName="circ3Tx" presStyleLbl="revTx" presStyleIdx="0" presStyleCnt="0">
        <dgm:presLayoutVars>
          <dgm:chMax val="0"/>
          <dgm:chPref val="0"/>
          <dgm:bulletEnabled val="1"/>
        </dgm:presLayoutVars>
      </dgm:prSet>
      <dgm:spPr/>
      <dgm:t>
        <a:bodyPr/>
        <a:lstStyle/>
        <a:p>
          <a:endParaRPr lang="en-US"/>
        </a:p>
      </dgm:t>
    </dgm:pt>
  </dgm:ptLst>
  <dgm:cxnLst>
    <dgm:cxn modelId="{2D48676A-4130-4413-932A-99ED79CB2673}" type="presOf" srcId="{2B0C7056-1488-45A8-9553-53DF8105F223}" destId="{8786A0F1-8908-42DF-B228-2E290A99D4C1}" srcOrd="1" destOrd="0" presId="urn:microsoft.com/office/officeart/2005/8/layout/venn1"/>
    <dgm:cxn modelId="{2179396F-96EA-4527-9179-60206C37BB47}" type="presOf" srcId="{92B649AA-159D-4D25-A530-B2BD0B179C0B}" destId="{4033807C-2FBC-4BBA-B45A-3DDBB7E97C29}" srcOrd="1" destOrd="0" presId="urn:microsoft.com/office/officeart/2005/8/layout/venn1"/>
    <dgm:cxn modelId="{611EA0AD-B110-44BE-A213-0C374748D515}" type="presOf" srcId="{5F2427FF-CC9C-4ACF-9B0C-FD8580591E84}" destId="{765A394F-1688-4809-A2C0-379DBFAFDD05}" srcOrd="1" destOrd="0" presId="urn:microsoft.com/office/officeart/2005/8/layout/venn1"/>
    <dgm:cxn modelId="{78369BA5-2960-4E98-8D14-215588C03DD3}" srcId="{6048287D-7156-4D93-B276-20EC5753ABE4}" destId="{92B649AA-159D-4D25-A530-B2BD0B179C0B}" srcOrd="2" destOrd="0" parTransId="{88C6FDE9-17B0-42A0-BF6B-110F47A6AAF8}" sibTransId="{4116669F-884E-41B4-B5CD-692B88082C70}"/>
    <dgm:cxn modelId="{C6D69FA1-9726-4611-B33B-F400DBB70786}" srcId="{6048287D-7156-4D93-B276-20EC5753ABE4}" destId="{2B0C7056-1488-45A8-9553-53DF8105F223}" srcOrd="1" destOrd="0" parTransId="{B6CA4937-62B0-4185-BC46-F39C53ACB1DA}" sibTransId="{014B2F91-5576-475E-96D8-A552E7C8225B}"/>
    <dgm:cxn modelId="{56A60C18-91CD-4FDF-83BF-20B320552385}" type="presOf" srcId="{2B0C7056-1488-45A8-9553-53DF8105F223}" destId="{1BF029BE-7AA4-4EB7-8122-C1261969EF28}" srcOrd="0" destOrd="0" presId="urn:microsoft.com/office/officeart/2005/8/layout/venn1"/>
    <dgm:cxn modelId="{C23F7664-569D-4752-A82C-52B7BCBDCC9B}" type="presOf" srcId="{5F2427FF-CC9C-4ACF-9B0C-FD8580591E84}" destId="{0B9A7A5A-DFA0-4BAC-BB34-DCE060027469}" srcOrd="0" destOrd="0" presId="urn:microsoft.com/office/officeart/2005/8/layout/venn1"/>
    <dgm:cxn modelId="{E0C75985-6A71-4E5F-99B2-E12BE07B8896}" type="presOf" srcId="{92B649AA-159D-4D25-A530-B2BD0B179C0B}" destId="{CE9E954D-48C6-4FAD-9F23-693338A61053}" srcOrd="0" destOrd="0" presId="urn:microsoft.com/office/officeart/2005/8/layout/venn1"/>
    <dgm:cxn modelId="{5D23FDCC-E745-4ED7-B7C1-C22BC3DDC8C6}" srcId="{6048287D-7156-4D93-B276-20EC5753ABE4}" destId="{5F2427FF-CC9C-4ACF-9B0C-FD8580591E84}" srcOrd="0" destOrd="0" parTransId="{92062171-3014-4814-A49C-F9B4346FF2BC}" sibTransId="{889B8236-9CB3-48CA-B4A8-0AF33B37F178}"/>
    <dgm:cxn modelId="{EBED001C-ADCA-48EF-B21A-34E3072A686F}" type="presOf" srcId="{6048287D-7156-4D93-B276-20EC5753ABE4}" destId="{C6D9ED1E-B880-473B-8346-77409F400D4F}" srcOrd="0" destOrd="0" presId="urn:microsoft.com/office/officeart/2005/8/layout/venn1"/>
    <dgm:cxn modelId="{CEBBB1B8-8E0D-4124-9961-49C554548A00}" type="presParOf" srcId="{C6D9ED1E-B880-473B-8346-77409F400D4F}" destId="{0B9A7A5A-DFA0-4BAC-BB34-DCE060027469}" srcOrd="0" destOrd="0" presId="urn:microsoft.com/office/officeart/2005/8/layout/venn1"/>
    <dgm:cxn modelId="{53232C70-70DD-4AB6-8271-3E27A2D9720D}" type="presParOf" srcId="{C6D9ED1E-B880-473B-8346-77409F400D4F}" destId="{765A394F-1688-4809-A2C0-379DBFAFDD05}" srcOrd="1" destOrd="0" presId="urn:microsoft.com/office/officeart/2005/8/layout/venn1"/>
    <dgm:cxn modelId="{3D32893B-9580-4AD7-A487-37975BDBF637}" type="presParOf" srcId="{C6D9ED1E-B880-473B-8346-77409F400D4F}" destId="{1BF029BE-7AA4-4EB7-8122-C1261969EF28}" srcOrd="2" destOrd="0" presId="urn:microsoft.com/office/officeart/2005/8/layout/venn1"/>
    <dgm:cxn modelId="{3A9FBAB4-1744-487D-85D2-E20FD1C1077F}" type="presParOf" srcId="{C6D9ED1E-B880-473B-8346-77409F400D4F}" destId="{8786A0F1-8908-42DF-B228-2E290A99D4C1}" srcOrd="3" destOrd="0" presId="urn:microsoft.com/office/officeart/2005/8/layout/venn1"/>
    <dgm:cxn modelId="{B44521F8-B713-4BC4-B4C3-F518D20E73F0}" type="presParOf" srcId="{C6D9ED1E-B880-473B-8346-77409F400D4F}" destId="{CE9E954D-48C6-4FAD-9F23-693338A61053}" srcOrd="4" destOrd="0" presId="urn:microsoft.com/office/officeart/2005/8/layout/venn1"/>
    <dgm:cxn modelId="{02A03B1D-B645-4CC9-8F1F-22903545FE6A}" type="presParOf" srcId="{C6D9ED1E-B880-473B-8346-77409F400D4F}" destId="{4033807C-2FBC-4BBA-B45A-3DDBB7E97C29}"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A7A5A-DFA0-4BAC-BB34-DCE060027469}">
      <dsp:nvSpPr>
        <dsp:cNvPr id="0" name=""/>
        <dsp:cNvSpPr/>
      </dsp:nvSpPr>
      <dsp:spPr>
        <a:xfrm>
          <a:off x="381290" y="274911"/>
          <a:ext cx="1056694" cy="1056694"/>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Career Exploration and Development</a:t>
          </a:r>
        </a:p>
      </dsp:txBody>
      <dsp:txXfrm>
        <a:off x="522182" y="459832"/>
        <a:ext cx="774909" cy="475512"/>
      </dsp:txXfrm>
    </dsp:sp>
    <dsp:sp modelId="{1BF029BE-7AA4-4EB7-8122-C1261969EF28}">
      <dsp:nvSpPr>
        <dsp:cNvPr id="0" name=""/>
        <dsp:cNvSpPr/>
      </dsp:nvSpPr>
      <dsp:spPr>
        <a:xfrm>
          <a:off x="762580" y="935344"/>
          <a:ext cx="1056694" cy="1056694"/>
        </a:xfrm>
        <a:prstGeom prst="ellipse">
          <a:avLst/>
        </a:prstGeom>
        <a:solidFill>
          <a:schemeClr val="accent4">
            <a:alpha val="50000"/>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College Exploration, Preparation, and Selection </a:t>
          </a:r>
        </a:p>
      </dsp:txBody>
      <dsp:txXfrm>
        <a:off x="1085753" y="1208324"/>
        <a:ext cx="634016" cy="581181"/>
      </dsp:txXfrm>
    </dsp:sp>
    <dsp:sp modelId="{CE9E954D-48C6-4FAD-9F23-693338A61053}">
      <dsp:nvSpPr>
        <dsp:cNvPr id="0" name=""/>
        <dsp:cNvSpPr/>
      </dsp:nvSpPr>
      <dsp:spPr>
        <a:xfrm>
          <a:off x="0" y="935344"/>
          <a:ext cx="1056694" cy="1056694"/>
        </a:xfrm>
        <a:prstGeom prst="ellipse">
          <a:avLst/>
        </a:prstGeom>
        <a:solidFill>
          <a:srgbClr val="FF00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Financial Aid and Literacy</a:t>
          </a:r>
        </a:p>
      </dsp:txBody>
      <dsp:txXfrm>
        <a:off x="99505" y="1208324"/>
        <a:ext cx="634016" cy="58118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FE2C-8253-4035-8DB0-426EE74A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Messing-Mathie</dc:creator>
  <cp:keywords/>
  <dc:description/>
  <cp:lastModifiedBy>Andrea Messing-Mathie</cp:lastModifiedBy>
  <cp:revision>2</cp:revision>
  <dcterms:created xsi:type="dcterms:W3CDTF">2016-01-14T02:51:00Z</dcterms:created>
  <dcterms:modified xsi:type="dcterms:W3CDTF">2016-01-14T02:51:00Z</dcterms:modified>
</cp:coreProperties>
</file>